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57" w:rsidRPr="008B7C57" w:rsidRDefault="008B7C57" w:rsidP="008B7C57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8B7C57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Хорватию: документы, оформление визы, цена</w:t>
      </w:r>
    </w:p>
    <w:tbl>
      <w:tblPr>
        <w:tblW w:w="994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1"/>
        <w:gridCol w:w="3947"/>
        <w:gridCol w:w="2308"/>
      </w:tblGrid>
      <w:tr w:rsidR="008B7C57" w:rsidRPr="008B7C57" w:rsidTr="008B7C57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8B7C57" w:rsidRPr="008B7C57" w:rsidRDefault="008B7C57" w:rsidP="008B7C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8B7C57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8B7C57" w:rsidRPr="008B7C57" w:rsidRDefault="008B7C57" w:rsidP="008B7C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8B7C57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 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8B7C57" w:rsidRPr="008B7C57" w:rsidRDefault="008B7C57" w:rsidP="008B7C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8B7C57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8B7C57" w:rsidRPr="008B7C57" w:rsidTr="008B7C57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8B7C57" w:rsidRPr="008B7C57" w:rsidRDefault="008B7C57" w:rsidP="008B7C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8B7C57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22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8B7C57" w:rsidRPr="008B7C57" w:rsidRDefault="008B7C57" w:rsidP="008B7C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8B7C57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6-8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8B7C57" w:rsidRPr="008B7C57" w:rsidRDefault="008B7C57" w:rsidP="008B7C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8B7C57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 xml:space="preserve">8990 </w:t>
            </w:r>
            <w:proofErr w:type="spellStart"/>
            <w:r w:rsidRPr="008B7C57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р</w:t>
            </w:r>
            <w:proofErr w:type="spellEnd"/>
            <w:r w:rsidRPr="008B7C57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**.</w:t>
            </w:r>
          </w:p>
        </w:tc>
      </w:tr>
    </w:tbl>
    <w:p w:rsidR="008B7C57" w:rsidRPr="008B7C57" w:rsidRDefault="008B7C57" w:rsidP="008B7C5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8B7C57">
        <w:rPr>
          <w:rFonts w:ascii="Arial" w:eastAsia="Times New Roman" w:hAnsi="Arial" w:cs="Arial"/>
          <w:b/>
          <w:bCs/>
          <w:color w:val="000000"/>
          <w:lang w:eastAsia="ru-RU"/>
        </w:rPr>
        <w:t>* </w:t>
      </w:r>
      <w:r w:rsidRPr="008B7C57">
        <w:rPr>
          <w:rFonts w:ascii="Arial" w:eastAsia="Times New Roman" w:hAnsi="Arial" w:cs="Arial"/>
          <w:color w:val="000000"/>
          <w:lang w:eastAsia="ru-RU"/>
        </w:rPr>
        <w:t>или согласно своему приглашению </w:t>
      </w:r>
    </w:p>
    <w:p w:rsidR="008B7C57" w:rsidRPr="008B7C57" w:rsidRDefault="008B7C57" w:rsidP="008B7C57">
      <w:pPr>
        <w:spacing w:after="251" w:line="288" w:lineRule="atLeast"/>
        <w:textAlignment w:val="top"/>
        <w:outlineLvl w:val="1"/>
        <w:rPr>
          <w:rFonts w:ascii="Arial" w:eastAsia="Times New Roman" w:hAnsi="Arial" w:cs="Arial"/>
          <w:color w:val="3D1D24"/>
          <w:spacing w:val="-17"/>
          <w:sz w:val="34"/>
          <w:szCs w:val="34"/>
          <w:lang w:eastAsia="ru-RU"/>
        </w:rPr>
      </w:pPr>
      <w:r w:rsidRPr="008B7C57">
        <w:rPr>
          <w:rFonts w:ascii="Arial" w:eastAsia="Times New Roman" w:hAnsi="Arial" w:cs="Arial"/>
          <w:color w:val="3D1D24"/>
          <w:spacing w:val="-17"/>
          <w:sz w:val="34"/>
          <w:szCs w:val="34"/>
          <w:lang w:eastAsia="ru-RU"/>
        </w:rPr>
        <w:t>Оформление визы в Хорватию - необходимые документы:</w:t>
      </w:r>
    </w:p>
    <w:p w:rsidR="008B7C57" w:rsidRPr="008B7C57" w:rsidRDefault="008B7C57" w:rsidP="008B7C57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8B7C57">
        <w:rPr>
          <w:rFonts w:ascii="Arial" w:eastAsia="Times New Roman" w:hAnsi="Arial" w:cs="Arial"/>
          <w:color w:val="000000"/>
          <w:lang w:eastAsia="ru-RU"/>
        </w:rPr>
        <w:t>заграничный паспорт, действительный не менее 3 месяцев после окончания поездки;</w:t>
      </w:r>
    </w:p>
    <w:p w:rsidR="008B7C57" w:rsidRPr="008B7C57" w:rsidRDefault="008B7C57" w:rsidP="008B7C57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8B7C57">
        <w:rPr>
          <w:rFonts w:ascii="Arial" w:eastAsia="Times New Roman" w:hAnsi="Arial" w:cs="Arial"/>
          <w:color w:val="000000"/>
          <w:lang w:eastAsia="ru-RU"/>
        </w:rPr>
        <w:t>копия всех заполненных страниц российского паспорта заявителя</w:t>
      </w:r>
    </w:p>
    <w:p w:rsidR="008B7C57" w:rsidRPr="008B7C57" w:rsidRDefault="008B7C57" w:rsidP="008B7C57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8B7C57">
        <w:rPr>
          <w:rFonts w:ascii="Arial" w:eastAsia="Times New Roman" w:hAnsi="Arial" w:cs="Arial"/>
          <w:color w:val="000000"/>
          <w:lang w:eastAsia="ru-RU"/>
        </w:rPr>
        <w:t>фото </w:t>
      </w:r>
      <w:r w:rsidRPr="008B7C57">
        <w:rPr>
          <w:rFonts w:ascii="Arial" w:eastAsia="Times New Roman" w:hAnsi="Arial" w:cs="Arial"/>
          <w:b/>
          <w:bCs/>
          <w:color w:val="000000"/>
          <w:lang w:eastAsia="ru-RU"/>
        </w:rPr>
        <w:t>цветное</w:t>
      </w:r>
      <w:r w:rsidRPr="008B7C57">
        <w:rPr>
          <w:rFonts w:ascii="Arial" w:eastAsia="Times New Roman" w:hAnsi="Arial" w:cs="Arial"/>
          <w:color w:val="000000"/>
          <w:lang w:eastAsia="ru-RU"/>
        </w:rPr>
        <w:t> - 2 шт. (3,5х</w:t>
      </w:r>
      <w:proofErr w:type="gramStart"/>
      <w:r w:rsidRPr="008B7C57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8B7C57">
        <w:rPr>
          <w:rFonts w:ascii="Arial" w:eastAsia="Times New Roman" w:hAnsi="Arial" w:cs="Arial"/>
          <w:color w:val="000000"/>
          <w:lang w:eastAsia="ru-RU"/>
        </w:rPr>
        <w:t>,5, на белом или светло-голубом фоне 70% площади фотографии должно занимать лицо);</w:t>
      </w:r>
    </w:p>
    <w:p w:rsidR="008B7C57" w:rsidRPr="008B7C57" w:rsidRDefault="008B7C57" w:rsidP="008B7C57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5" w:tgtFrame="_blank" w:history="1">
        <w:r w:rsidRPr="008B7C57">
          <w:rPr>
            <w:rFonts w:ascii="Arial" w:eastAsia="Times New Roman" w:hAnsi="Arial" w:cs="Arial"/>
            <w:color w:val="77252D"/>
            <w:u w:val="single"/>
            <w:lang w:eastAsia="ru-RU"/>
          </w:rPr>
          <w:t>справка с места работы</w:t>
        </w:r>
      </w:hyperlink>
      <w:r w:rsidRPr="008B7C57">
        <w:rPr>
          <w:rFonts w:ascii="Arial" w:eastAsia="Times New Roman" w:hAnsi="Arial" w:cs="Arial"/>
          <w:color w:val="000000"/>
          <w:lang w:eastAsia="ru-RU"/>
        </w:rPr>
        <w:t> не старше 1-го месяца (указать исходящий номер, должность, дату устройства на работу и среднемесячный оклад);</w:t>
      </w:r>
    </w:p>
    <w:p w:rsidR="008B7C57" w:rsidRPr="008B7C57" w:rsidRDefault="008B7C57" w:rsidP="008B7C57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B7C57">
        <w:rPr>
          <w:rFonts w:ascii="Arial" w:eastAsia="Times New Roman" w:hAnsi="Arial" w:cs="Arial"/>
          <w:color w:val="000000"/>
          <w:lang w:eastAsia="ru-RU"/>
        </w:rPr>
        <w:t>выписка со счета (эквивалент минимум 70 Евро на день пребывания в стране</w:t>
      </w:r>
      <w:proofErr w:type="gramEnd"/>
    </w:p>
    <w:p w:rsidR="008B7C57" w:rsidRPr="008B7C57" w:rsidRDefault="008B7C57" w:rsidP="008B7C57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8B7C57">
        <w:rPr>
          <w:rFonts w:ascii="Arial" w:eastAsia="Times New Roman" w:hAnsi="Arial" w:cs="Arial"/>
          <w:color w:val="000000"/>
          <w:lang w:eastAsia="ru-RU"/>
        </w:rPr>
        <w:t>оригинал страхового полиса с покрытием не менее 35 тыс. евро;</w:t>
      </w:r>
    </w:p>
    <w:p w:rsidR="008B7C57" w:rsidRPr="008B7C57" w:rsidRDefault="008B7C57" w:rsidP="008B7C57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8B7C57">
        <w:rPr>
          <w:rFonts w:ascii="Arial" w:eastAsia="Times New Roman" w:hAnsi="Arial" w:cs="Arial"/>
          <w:color w:val="000000"/>
          <w:lang w:eastAsia="ru-RU"/>
        </w:rPr>
        <w:t>1 заполненный </w:t>
      </w:r>
      <w:hyperlink r:id="rId6" w:tgtFrame="_blank" w:history="1">
        <w:r w:rsidRPr="008B7C57">
          <w:rPr>
            <w:rFonts w:ascii="Arial" w:eastAsia="Times New Roman" w:hAnsi="Arial" w:cs="Arial"/>
            <w:color w:val="77252D"/>
            <w:u w:val="single"/>
            <w:lang w:eastAsia="ru-RU"/>
          </w:rPr>
          <w:t>опросный лист;</w:t>
        </w:r>
      </w:hyperlink>
    </w:p>
    <w:p w:rsidR="008B7C57" w:rsidRPr="008B7C57" w:rsidRDefault="008B7C57" w:rsidP="008B7C57">
      <w:pPr>
        <w:numPr>
          <w:ilvl w:val="0"/>
          <w:numId w:val="1"/>
        </w:numPr>
        <w:spacing w:after="10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8B7C57">
        <w:rPr>
          <w:rFonts w:ascii="Arial" w:eastAsia="Times New Roman" w:hAnsi="Arial" w:cs="Arial"/>
          <w:color w:val="000000"/>
          <w:lang w:eastAsia="ru-RU"/>
        </w:rPr>
        <w:t>Незаполненная, только подписанная туристом </w:t>
      </w:r>
      <w:hyperlink r:id="rId7" w:tgtFrame="_blank" w:history="1">
        <w:r w:rsidRPr="008B7C57">
          <w:rPr>
            <w:rFonts w:ascii="Arial" w:eastAsia="Times New Roman" w:hAnsi="Arial" w:cs="Arial"/>
            <w:color w:val="77252D"/>
            <w:u w:val="single"/>
            <w:lang w:eastAsia="ru-RU"/>
          </w:rPr>
          <w:t>анкета</w:t>
        </w:r>
      </w:hyperlink>
      <w:r w:rsidRPr="008B7C57">
        <w:rPr>
          <w:rFonts w:ascii="Arial" w:eastAsia="Times New Roman" w:hAnsi="Arial" w:cs="Arial"/>
          <w:color w:val="000000"/>
          <w:lang w:eastAsia="ru-RU"/>
        </w:rPr>
        <w:t> (в п.37 и в конце анкеты)</w:t>
      </w:r>
    </w:p>
    <w:p w:rsidR="008B7C57" w:rsidRPr="008B7C57" w:rsidRDefault="008B7C57" w:rsidP="008B7C5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8B7C57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8B7C57" w:rsidRPr="008B7C57" w:rsidRDefault="008B7C57" w:rsidP="008B7C5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8B7C57">
        <w:rPr>
          <w:rFonts w:ascii="Arial" w:eastAsia="Times New Roman" w:hAnsi="Arial" w:cs="Arial"/>
          <w:color w:val="000000"/>
          <w:lang w:eastAsia="ru-RU"/>
        </w:rPr>
        <w:t>Ребёнок старше 6-ти лет оплачивается как взрослый. </w:t>
      </w:r>
      <w:r w:rsidRPr="008B7C57">
        <w:rPr>
          <w:rFonts w:ascii="Arial" w:eastAsia="Times New Roman" w:hAnsi="Arial" w:cs="Arial"/>
          <w:color w:val="000000"/>
          <w:lang w:eastAsia="ru-RU"/>
        </w:rPr>
        <w:br/>
        <w:t>На ребенка дополнительно предоставляется:</w:t>
      </w:r>
      <w:r w:rsidRPr="008B7C57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8B7C57">
        <w:rPr>
          <w:rFonts w:ascii="Arial" w:eastAsia="Times New Roman" w:hAnsi="Arial" w:cs="Arial"/>
          <w:color w:val="00000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8B7C57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8B7C57">
        <w:rPr>
          <w:rFonts w:ascii="Arial" w:eastAsia="Times New Roman" w:hAnsi="Arial" w:cs="Arial"/>
          <w:color w:val="00000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9" w:tgtFrame="_blank" w:tooltip="Образец" w:history="1">
        <w:r w:rsidRPr="008B7C57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8B7C57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8B7C57" w:rsidRPr="008B7C57" w:rsidRDefault="008B7C57" w:rsidP="008B7C5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8B7C57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8B7C57" w:rsidRPr="008B7C57" w:rsidRDefault="008B7C57" w:rsidP="008B7C5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8B7C57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8B7C57" w:rsidRPr="008B7C57" w:rsidRDefault="008B7C57" w:rsidP="008B7C5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8B7C57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8B7C57" w:rsidRPr="008B7C57" w:rsidRDefault="008B7C57" w:rsidP="008B7C5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8B7C57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8B7C57" w:rsidRPr="008B7C57" w:rsidRDefault="008B7C57" w:rsidP="008B7C5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8B7C57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8B7C57" w:rsidRPr="008B7C57" w:rsidRDefault="008B7C57" w:rsidP="008B7C57">
      <w:pPr>
        <w:pStyle w:val="aa"/>
        <w:numPr>
          <w:ilvl w:val="0"/>
          <w:numId w:val="1"/>
        </w:numPr>
        <w:shd w:val="clear" w:color="auto" w:fill="FFFFFF"/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8B7C57">
        <w:rPr>
          <w:rFonts w:ascii="Arial" w:eastAsia="Times New Roman" w:hAnsi="Arial" w:cs="Arial"/>
          <w:color w:val="000000"/>
          <w:lang w:eastAsia="ru-RU"/>
        </w:rPr>
        <w:t>Консульство имеет право отказать в выдаче въездной визы в Хорватию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101BA5" w:rsidRDefault="00101BA5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5FF"/>
    <w:multiLevelType w:val="multilevel"/>
    <w:tmpl w:val="9DD2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C57"/>
    <w:rsid w:val="00101BA5"/>
    <w:rsid w:val="008B7C57"/>
    <w:rsid w:val="00D352B0"/>
    <w:rsid w:val="00FA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8B7C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2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vizy/viza_v_khorvatiy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vc-nsk.ru/upload/croatia%20anketa.pdf" TargetMode="External"/><Relationship Id="rId12" Type="http://schemas.openxmlformats.org/officeDocument/2006/relationships/hyperlink" Target="http://uvc-nsk.ru/vizy/viza_v_khorvat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anketa_visa.doc" TargetMode="External"/><Relationship Id="rId11" Type="http://schemas.openxmlformats.org/officeDocument/2006/relationships/hyperlink" Target="http://uvc-nsk.ru/vizy/viza_v_khorvatiyu/" TargetMode="External"/><Relationship Id="rId5" Type="http://schemas.openxmlformats.org/officeDocument/2006/relationships/hyperlink" Target="http://uvc-nsk.ru/upload/spr_horkom.jpg" TargetMode="External"/><Relationship Id="rId10" Type="http://schemas.openxmlformats.org/officeDocument/2006/relationships/hyperlink" Target="http://uvc-nsk.ru/vizy/viza_v_khorvati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upload/sponsorsko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2018-05-25T06:46:00Z</dcterms:created>
  <dcterms:modified xsi:type="dcterms:W3CDTF">2018-05-25T06:46:00Z</dcterms:modified>
</cp:coreProperties>
</file>