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6" w:rsidRPr="002063B6" w:rsidRDefault="002063B6" w:rsidP="002063B6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2063B6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Таиланд: документы, оформление визы</w:t>
      </w:r>
    </w:p>
    <w:tbl>
      <w:tblPr>
        <w:tblW w:w="98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7"/>
        <w:gridCol w:w="2263"/>
        <w:gridCol w:w="1639"/>
      </w:tblGrid>
      <w:tr w:rsidR="002063B6" w:rsidRPr="002063B6" w:rsidTr="002063B6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2063B6" w:rsidRPr="002063B6" w:rsidTr="002063B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90 дней*/</w:t>
            </w:r>
            <w:proofErr w:type="gramStart"/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однократная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13000 рублей</w:t>
            </w:r>
          </w:p>
        </w:tc>
      </w:tr>
      <w:tr w:rsidR="002063B6" w:rsidRPr="002063B6" w:rsidTr="002063B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90 дней*/</w:t>
            </w:r>
            <w:proofErr w:type="gramStart"/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двукратная</w:t>
            </w:r>
            <w:proofErr w:type="gramEnd"/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-----</w:t>
            </w:r>
          </w:p>
        </w:tc>
      </w:tr>
      <w:tr w:rsidR="002063B6" w:rsidRPr="002063B6" w:rsidTr="002063B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каждый визит не более 60 дней/</w:t>
            </w:r>
            <w:proofErr w:type="gramStart"/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многократная</w:t>
            </w:r>
            <w:proofErr w:type="gramEnd"/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полуговодая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2063B6" w:rsidRPr="002063B6" w:rsidRDefault="002063B6" w:rsidP="002063B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2063B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-----</w:t>
            </w:r>
          </w:p>
        </w:tc>
      </w:tr>
    </w:tbl>
    <w:p w:rsidR="002063B6" w:rsidRPr="002063B6" w:rsidRDefault="002063B6" w:rsidP="002063B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 xml:space="preserve">* - по данному типу визы иностранному гражданину будет разрешено находиться на территории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Тайланда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30 либо 60 дней. Тот человек, который пожелает находиться дольше или пожелает поменять свой тип визы, должен заполнить анкету на разрешение в бюро иммиграционной службы, находящемся по адресу: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Soi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Suan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Plu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South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Sathorn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Road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Bangkok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10120, Телефон 02-287-3101-10 или на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вебсайте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> </w:t>
      </w:r>
      <w:hyperlink r:id="rId5" w:tgtFrame="_blank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http://immigration.go.th</w:t>
        </w:r>
      </w:hyperlink>
      <w:r w:rsidRPr="002063B6">
        <w:rPr>
          <w:rFonts w:ascii="Arial" w:eastAsia="Times New Roman" w:hAnsi="Arial" w:cs="Arial"/>
          <w:color w:val="000000"/>
          <w:lang w:eastAsia="ru-RU"/>
        </w:rPr>
        <w:t xml:space="preserve">. Продление срока пребывания на 30 дней, как и изменение типа </w:t>
      </w:r>
      <w:proofErr w:type="gramStart"/>
      <w:r w:rsidRPr="002063B6">
        <w:rPr>
          <w:rFonts w:ascii="Arial" w:eastAsia="Times New Roman" w:hAnsi="Arial" w:cs="Arial"/>
          <w:color w:val="000000"/>
          <w:lang w:eastAsia="ru-RU"/>
        </w:rPr>
        <w:t>визы</w:t>
      </w:r>
      <w:proofErr w:type="gram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производятся по усмотрению иммиграционного сотрудника.</w:t>
      </w:r>
    </w:p>
    <w:p w:rsidR="002063B6" w:rsidRPr="002063B6" w:rsidRDefault="002063B6" w:rsidP="002063B6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 xml:space="preserve">** Требования: авиабилеты на 2 поездки с вылетом за территорию Таиланда, минимум на счете - 100 000 </w:t>
      </w:r>
      <w:proofErr w:type="spellStart"/>
      <w:proofErr w:type="gramStart"/>
      <w:r w:rsidRPr="002063B6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на чел.</w:t>
      </w:r>
    </w:p>
    <w:p w:rsidR="002063B6" w:rsidRPr="002063B6" w:rsidRDefault="002063B6" w:rsidP="002063B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С 1 сентября 2016 все документы на русском или других языках, должны быть переведены на английский язык нотариально. </w:t>
      </w:r>
      <w:r w:rsidRPr="002063B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 случае оформления нотариального перевода всех документов через Единый Визовый Центр, стоимость такого перевода на каждого заявителя, независимо от возраста, составляет 4000 рублей. </w:t>
      </w:r>
    </w:p>
    <w:p w:rsidR="002063B6" w:rsidRPr="002063B6" w:rsidRDefault="002063B6" w:rsidP="002063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b/>
          <w:bCs/>
          <w:color w:val="000000"/>
          <w:lang w:eastAsia="ru-RU"/>
        </w:rPr>
        <w:t>Необходимые документы, чтобы оформить визу в Таиланд: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Паспорт или удостоверение личности со сроком действия не менее 6 месяцев;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Копия главной страницы паспорта;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Подписанная в 2-х местах </w:t>
      </w:r>
      <w:hyperlink r:id="rId6" w:tgtFrame="_blank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анкета для визы</w:t>
        </w:r>
      </w:hyperlink>
      <w:r w:rsidRPr="002063B6">
        <w:rPr>
          <w:rFonts w:ascii="Arial" w:eastAsia="Times New Roman" w:hAnsi="Arial" w:cs="Arial"/>
          <w:color w:val="000000"/>
          <w:lang w:eastAsia="ru-RU"/>
        </w:rPr>
        <w:t> (поле FOR OFFICIAL USE не подписывать!!!);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Фотография размером (4х6 см.);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Подтверждение о выезде из Королевства Таиланд (подтвержденный авиабилет, полностью оплаченный);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Подтверждение финансового состояния (30,000 рублей на одного человека и 60,000 рублей на одну семью);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 xml:space="preserve">Справка с места работы (для </w:t>
      </w:r>
      <w:proofErr w:type="gramStart"/>
      <w:r w:rsidRPr="002063B6">
        <w:rPr>
          <w:rFonts w:ascii="Arial" w:eastAsia="Times New Roman" w:hAnsi="Arial" w:cs="Arial"/>
          <w:color w:val="000000"/>
          <w:lang w:eastAsia="ru-RU"/>
        </w:rPr>
        <w:t>работающих</w:t>
      </w:r>
      <w:proofErr w:type="gramEnd"/>
      <w:r w:rsidRPr="002063B6">
        <w:rPr>
          <w:rFonts w:ascii="Arial" w:eastAsia="Times New Roman" w:hAnsi="Arial" w:cs="Arial"/>
          <w:color w:val="000000"/>
          <w:lang w:eastAsia="ru-RU"/>
        </w:rPr>
        <w:t>);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 xml:space="preserve">Сотрудник консульства отдела оставляет за собой право запросить любые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допольнительные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документы, которые он почитает необходимыми;</w:t>
      </w:r>
    </w:p>
    <w:p w:rsidR="002063B6" w:rsidRPr="002063B6" w:rsidRDefault="002063B6" w:rsidP="002063B6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Заполненный </w:t>
      </w:r>
      <w:hyperlink r:id="rId7" w:tgtFrame="_blank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2063B6" w:rsidRPr="002063B6" w:rsidRDefault="002063B6" w:rsidP="002063B6">
      <w:pPr>
        <w:spacing w:after="0" w:line="251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Для несовершеннолетних:</w:t>
      </w:r>
    </w:p>
    <w:p w:rsidR="002063B6" w:rsidRPr="002063B6" w:rsidRDefault="002063B6" w:rsidP="002063B6">
      <w:pPr>
        <w:numPr>
          <w:ilvl w:val="0"/>
          <w:numId w:val="2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Свидетельство о рождении (либо оригинал и копия, либо нотариально заверенная копия);</w:t>
      </w:r>
    </w:p>
    <w:p w:rsidR="002063B6" w:rsidRPr="002063B6" w:rsidRDefault="002063B6" w:rsidP="002063B6">
      <w:pPr>
        <w:numPr>
          <w:ilvl w:val="0"/>
          <w:numId w:val="2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Нотариально заверенная согласия от одного/обоих родителей, если ребенок едет без сопровождения одного/обоих родителей (либо оригинал и копия, либо нотариально заверенная копия).</w:t>
      </w:r>
    </w:p>
    <w:p w:rsidR="002063B6" w:rsidRPr="002063B6" w:rsidRDefault="002063B6" w:rsidP="002063B6">
      <w:pPr>
        <w:spacing w:after="0" w:line="251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lastRenderedPageBreak/>
        <w:t>Для индивидуальных предпринимателей (вместо справки с работы):</w:t>
      </w:r>
    </w:p>
    <w:p w:rsidR="002063B6" w:rsidRPr="002063B6" w:rsidRDefault="002063B6" w:rsidP="002063B6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Справка о доходах ИП (желательно, на английском языке) </w:t>
      </w:r>
    </w:p>
    <w:p w:rsidR="002063B6" w:rsidRPr="002063B6" w:rsidRDefault="002063B6" w:rsidP="002063B6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Копия свидетельства регистрации ИП. (Подлинность копии должна быть заверена нотариусом).</w:t>
      </w:r>
    </w:p>
    <w:p w:rsidR="002063B6" w:rsidRPr="002063B6" w:rsidRDefault="002063B6" w:rsidP="002063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Необходимые документы на </w:t>
      </w:r>
      <w:proofErr w:type="gramStart"/>
      <w:r w:rsidRPr="002063B6">
        <w:rPr>
          <w:rFonts w:ascii="Arial" w:eastAsia="Times New Roman" w:hAnsi="Arial" w:cs="Arial"/>
          <w:b/>
          <w:bCs/>
          <w:color w:val="000000"/>
          <w:lang w:eastAsia="ru-RU"/>
        </w:rPr>
        <w:t>полугодовую</w:t>
      </w:r>
      <w:proofErr w:type="gramEnd"/>
      <w:r w:rsidRPr="002063B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063B6">
        <w:rPr>
          <w:rFonts w:ascii="Arial" w:eastAsia="Times New Roman" w:hAnsi="Arial" w:cs="Arial"/>
          <w:b/>
          <w:bCs/>
          <w:color w:val="000000"/>
          <w:lang w:eastAsia="ru-RU"/>
        </w:rPr>
        <w:t>мультивизу</w:t>
      </w:r>
      <w:proofErr w:type="spellEnd"/>
      <w:r w:rsidRPr="002063B6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063B6" w:rsidRPr="002063B6" w:rsidRDefault="002063B6" w:rsidP="002063B6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 xml:space="preserve">финансовые документы (банковская выписка за 6 </w:t>
      </w:r>
      <w:proofErr w:type="spellStart"/>
      <w:proofErr w:type="gramStart"/>
      <w:r w:rsidRPr="002063B6">
        <w:rPr>
          <w:rFonts w:ascii="Arial" w:eastAsia="Times New Roman" w:hAnsi="Arial" w:cs="Arial"/>
          <w:color w:val="000000"/>
          <w:lang w:eastAsia="ru-RU"/>
        </w:rPr>
        <w:t>месяцев-баланс</w:t>
      </w:r>
      <w:proofErr w:type="spellEnd"/>
      <w:proofErr w:type="gram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каждый месяц минимум 5,700 $)</w:t>
      </w:r>
    </w:p>
    <w:p w:rsidR="002063B6" w:rsidRPr="002063B6" w:rsidRDefault="002063B6" w:rsidP="002063B6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63B6">
        <w:rPr>
          <w:rFonts w:ascii="Arial" w:eastAsia="Times New Roman" w:hAnsi="Arial" w:cs="Arial"/>
          <w:color w:val="000000"/>
          <w:lang w:eastAsia="ru-RU"/>
        </w:rPr>
        <w:t>копия</w:t>
      </w:r>
      <w:proofErr w:type="gram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а/билета СТРОГО!!!! </w:t>
      </w: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туда-обратно-пребывание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максимум 60 дней (в одну сторону не принимается)</w:t>
      </w:r>
    </w:p>
    <w:p w:rsidR="002063B6" w:rsidRPr="002063B6" w:rsidRDefault="002063B6" w:rsidP="002063B6">
      <w:pPr>
        <w:numPr>
          <w:ilvl w:val="0"/>
          <w:numId w:val="4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63B6">
        <w:rPr>
          <w:rFonts w:ascii="Arial" w:eastAsia="Times New Roman" w:hAnsi="Arial" w:cs="Arial"/>
          <w:color w:val="000000"/>
          <w:lang w:eastAsia="ru-RU"/>
        </w:rPr>
        <w:t>бронь</w:t>
      </w:r>
      <w:proofErr w:type="spellEnd"/>
      <w:r w:rsidRPr="002063B6">
        <w:rPr>
          <w:rFonts w:ascii="Arial" w:eastAsia="Times New Roman" w:hAnsi="Arial" w:cs="Arial"/>
          <w:color w:val="000000"/>
          <w:lang w:eastAsia="ru-RU"/>
        </w:rPr>
        <w:t xml:space="preserve"> гостиницы на весь период пребывания</w:t>
      </w:r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2063B6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2063B6">
        <w:rPr>
          <w:rFonts w:ascii="Arial" w:eastAsia="Times New Roman" w:hAnsi="Arial" w:cs="Arial"/>
          <w:color w:val="000000"/>
          <w:lang w:eastAsia="ru-RU"/>
        </w:rPr>
        <w:br/>
        <w:t>- нотариальная копия согласия на выезд ребенка за рубеж от не выезжающего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ooltip="Образец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2063B6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2063B6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2063B6" w:rsidRPr="002063B6" w:rsidRDefault="002063B6" w:rsidP="002063B6">
      <w:pPr>
        <w:pStyle w:val="aa"/>
        <w:numPr>
          <w:ilvl w:val="0"/>
          <w:numId w:val="4"/>
        </w:numPr>
        <w:shd w:val="clear" w:color="auto" w:fill="FFFFFF"/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2063B6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 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3BD"/>
    <w:multiLevelType w:val="multilevel"/>
    <w:tmpl w:val="51D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E5BD0"/>
    <w:multiLevelType w:val="multilevel"/>
    <w:tmpl w:val="F50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B1474"/>
    <w:multiLevelType w:val="multilevel"/>
    <w:tmpl w:val="1DF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10A93"/>
    <w:multiLevelType w:val="multilevel"/>
    <w:tmpl w:val="9D9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3B6"/>
    <w:rsid w:val="00101BA5"/>
    <w:rsid w:val="002063B6"/>
    <w:rsid w:val="00B14CDD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206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9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16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8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taila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c-nsk.ru/THAILAND.OPROSNIK.doc" TargetMode="External"/><Relationship Id="rId12" Type="http://schemas.openxmlformats.org/officeDocument/2006/relationships/hyperlink" Target="http://uvc-nsk.ru/vizy/viza_v_tai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ANKETA%20UVC%20THAILAND.pdf" TargetMode="External"/><Relationship Id="rId11" Type="http://schemas.openxmlformats.org/officeDocument/2006/relationships/hyperlink" Target="http://uvc-nsk.ru/vizy/viza_v_tailand/" TargetMode="External"/><Relationship Id="rId5" Type="http://schemas.openxmlformats.org/officeDocument/2006/relationships/hyperlink" Target="http://immigration.go.th/" TargetMode="External"/><Relationship Id="rId10" Type="http://schemas.openxmlformats.org/officeDocument/2006/relationships/hyperlink" Target="http://uvc-nsk.ru/vizy/viza_v_tai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2018-05-25T06:42:00Z</dcterms:created>
  <dcterms:modified xsi:type="dcterms:W3CDTF">2018-05-25T06:42:00Z</dcterms:modified>
</cp:coreProperties>
</file>