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4" w:rsidRPr="001B7004" w:rsidRDefault="001B7004" w:rsidP="001B7004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1B7004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Латвию: документы, оформление визы</w:t>
      </w:r>
    </w:p>
    <w:tbl>
      <w:tblPr>
        <w:tblW w:w="94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8"/>
        <w:gridCol w:w="3661"/>
        <w:gridCol w:w="2211"/>
      </w:tblGrid>
      <w:tr w:rsidR="001B7004" w:rsidRPr="001B7004" w:rsidTr="001B7004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1B7004" w:rsidRPr="001B7004" w:rsidRDefault="001B7004" w:rsidP="001B700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1B700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1B7004" w:rsidRPr="001B7004" w:rsidRDefault="001B7004" w:rsidP="001B700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1B700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1B7004" w:rsidRPr="001B7004" w:rsidRDefault="001B7004" w:rsidP="001B700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1B7004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1B7004" w:rsidRPr="001B7004" w:rsidTr="001B7004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1B7004" w:rsidRPr="001B7004" w:rsidRDefault="001B7004" w:rsidP="001B700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1B7004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14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1B7004" w:rsidRPr="001B7004" w:rsidRDefault="001B7004" w:rsidP="001B700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1B7004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 недели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1B7004" w:rsidRPr="001B7004" w:rsidRDefault="001B7004" w:rsidP="001B700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1B7004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1B7004" w:rsidRPr="001B7004" w:rsidRDefault="001B7004" w:rsidP="001B700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1B7004" w:rsidRPr="001B7004" w:rsidRDefault="001B7004" w:rsidP="001B700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7004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1B7004">
        <w:rPr>
          <w:rFonts w:ascii="Arial" w:eastAsia="Times New Roman" w:hAnsi="Arial" w:cs="Arial"/>
          <w:color w:val="000000"/>
          <w:lang w:eastAsia="ru-RU"/>
        </w:rPr>
        <w:t>для туристической визы, для гостевой и деловой - по срокам приглашения </w:t>
      </w:r>
      <w:r w:rsidRPr="001B7004">
        <w:rPr>
          <w:rFonts w:ascii="Arial" w:eastAsia="Times New Roman" w:hAnsi="Arial" w:cs="Arial"/>
          <w:color w:val="000000"/>
          <w:lang w:eastAsia="ru-RU"/>
        </w:rPr>
        <w:br/>
      </w:r>
      <w:r w:rsidRPr="001B7004">
        <w:rPr>
          <w:rFonts w:ascii="Arial" w:eastAsia="Times New Roman" w:hAnsi="Arial" w:cs="Arial"/>
          <w:color w:val="000000"/>
          <w:lang w:eastAsia="ru-RU"/>
        </w:rPr>
        <w:br/>
        <w:t> </w:t>
      </w:r>
      <w:proofErr w:type="gramEnd"/>
    </w:p>
    <w:p w:rsidR="001B7004" w:rsidRPr="001B7004" w:rsidRDefault="001B7004" w:rsidP="001B700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B7004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1B7004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1B7004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1B7004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1B7004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1B7004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1B700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1B7004" w:rsidRPr="001B7004" w:rsidRDefault="001B7004" w:rsidP="001B700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 для всех типов виз в Латвию: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в течение трех месяцев с момента окончания срока действия визы. Необходимо, чтобы паспорт </w:t>
      </w:r>
      <w:proofErr w:type="gramStart"/>
      <w:r w:rsidRPr="001B7004">
        <w:rPr>
          <w:rFonts w:ascii="Arial" w:eastAsia="Times New Roman" w:hAnsi="Arial" w:cs="Arial"/>
          <w:color w:val="000000"/>
          <w:lang w:eastAsia="ru-RU"/>
        </w:rPr>
        <w:t>содержал</w:t>
      </w:r>
      <w:proofErr w:type="gramEnd"/>
      <w:r w:rsidRPr="001B7004">
        <w:rPr>
          <w:rFonts w:ascii="Arial" w:eastAsia="Times New Roman" w:hAnsi="Arial" w:cs="Arial"/>
          <w:color w:val="000000"/>
          <w:lang w:eastAsia="ru-RU"/>
        </w:rPr>
        <w:t xml:space="preserve"> по меньшей мере 2 чистые страницы.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Копия первой страницы заграничного паспорта.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 xml:space="preserve">Паспорт с истекшим сроком действия, но содержащим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шенгенские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 xml:space="preserve"> визы, + копия этих виз (если есть).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Копия российского паспорта: первая страница и страница с пропиской.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2 цветные фотографии 3,5*4,5 см, на белом фоне, сделанных, не более</w:t>
      </w:r>
      <w:proofErr w:type="gramStart"/>
      <w:r w:rsidRPr="001B7004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1B7004">
        <w:rPr>
          <w:rFonts w:ascii="Arial" w:eastAsia="Times New Roman" w:hAnsi="Arial" w:cs="Arial"/>
          <w:color w:val="000000"/>
          <w:lang w:eastAsia="ru-RU"/>
        </w:rPr>
        <w:t xml:space="preserve"> чем за 6 месяцев до момента подачи заявления на визу. Лицо должно составлять не менее 70-80% от снимка.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Pr="001B7004">
        <w:rPr>
          <w:rFonts w:ascii="Arial" w:eastAsia="Times New Roman" w:hAnsi="Arial" w:cs="Arial"/>
          <w:color w:val="000000"/>
          <w:lang w:eastAsia="ru-RU"/>
        </w:rPr>
        <w:t> на фирменном бланке организации с указанием занимаемой должности, даты устройства на работу, оклада и сроков оплачиваемого отпуска. С синей печатью и подписью директора и/или главного бухгалтера. Скачать образец.</w:t>
      </w:r>
    </w:p>
    <w:p w:rsidR="001B7004" w:rsidRPr="001B7004" w:rsidRDefault="001B7004" w:rsidP="001B7004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Справка из банка о движении денежных средств за последние 3 месяца, минимальный остаток на счете должен составлять 50 евро на день пребывания. Также принимаются дорожные чеки из расчета 50 евро в день.</w:t>
      </w:r>
    </w:p>
    <w:p w:rsidR="001B7004" w:rsidRDefault="001B7004" w:rsidP="001B7004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 xml:space="preserve">Медицинская страховка на период поездки, действительная в странах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Шенгена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 xml:space="preserve">, с минимальным покрытием в 30 000 евро. </w:t>
      </w:r>
      <w:proofErr w:type="gramStart"/>
      <w:r w:rsidRPr="001B7004">
        <w:rPr>
          <w:rFonts w:ascii="Arial" w:eastAsia="Times New Roman" w:hAnsi="Arial" w:cs="Arial"/>
          <w:color w:val="000000"/>
          <w:lang w:eastAsia="ru-RU"/>
        </w:rPr>
        <w:t>Дополнительный</w:t>
      </w:r>
      <w:proofErr w:type="gramEnd"/>
      <w:r w:rsidRPr="001B700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корридор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 xml:space="preserve"> - 15 дней!</w:t>
      </w:r>
    </w:p>
    <w:p w:rsidR="001B7004" w:rsidRPr="001B7004" w:rsidRDefault="001B7004" w:rsidP="001B7004">
      <w:pPr>
        <w:numPr>
          <w:ilvl w:val="0"/>
          <w:numId w:val="2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Дополнительно для гостевой визы в Латвию</w:t>
        </w:r>
      </w:hyperlink>
    </w:p>
    <w:p w:rsidR="001B7004" w:rsidRPr="001B7004" w:rsidRDefault="001B7004" w:rsidP="001B7004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 xml:space="preserve">Номер приглашения оформленного и заверенного в Управлении по делам гражданства и миграции МВД </w:t>
      </w:r>
      <w:proofErr w:type="gramStart"/>
      <w:r w:rsidRPr="001B7004">
        <w:rPr>
          <w:rFonts w:ascii="Arial" w:eastAsia="Times New Roman" w:hAnsi="Arial" w:cs="Arial"/>
          <w:color w:val="000000"/>
          <w:lang w:eastAsia="ru-RU"/>
        </w:rPr>
        <w:t>Латвии</w:t>
      </w:r>
      <w:proofErr w:type="gramEnd"/>
      <w:r w:rsidRPr="001B7004">
        <w:rPr>
          <w:rFonts w:ascii="Arial" w:eastAsia="Times New Roman" w:hAnsi="Arial" w:cs="Arial"/>
          <w:color w:val="000000"/>
          <w:lang w:eastAsia="ru-RU"/>
        </w:rPr>
        <w:t xml:space="preserve"> физическим или юридическим лицом. ИЛИ:</w:t>
      </w:r>
    </w:p>
    <w:p w:rsidR="001B7004" w:rsidRPr="001B7004" w:rsidRDefault="001B7004" w:rsidP="001B7004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B7004">
        <w:rPr>
          <w:rFonts w:ascii="Arial" w:eastAsia="Times New Roman" w:hAnsi="Arial" w:cs="Arial"/>
          <w:color w:val="000000"/>
          <w:lang w:eastAsia="ru-RU"/>
        </w:rPr>
        <w:t>Приглашение</w:t>
      </w:r>
      <w:proofErr w:type="gramEnd"/>
      <w:r w:rsidRPr="001B7004">
        <w:rPr>
          <w:rFonts w:ascii="Arial" w:eastAsia="Times New Roman" w:hAnsi="Arial" w:cs="Arial"/>
          <w:color w:val="000000"/>
          <w:lang w:eastAsia="ru-RU"/>
        </w:rPr>
        <w:t xml:space="preserve"> написанное постоянными жителями Латвии, которые находятся на территории России, в Посольстве Латвии. ИЛИ:</w:t>
      </w:r>
    </w:p>
    <w:p w:rsidR="001B7004" w:rsidRPr="001B7004" w:rsidRDefault="001B7004" w:rsidP="001B7004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Нотариально заверенное приглашение физического лица Латвии. Сведения, которые должно содержать оригинальное письменное приглашения, оговорены в </w:t>
      </w:r>
      <w:r w:rsidRPr="001B7004">
        <w:rPr>
          <w:rFonts w:ascii="Arial" w:eastAsia="Times New Roman" w:hAnsi="Arial" w:cs="Arial"/>
          <w:i/>
          <w:iCs/>
          <w:color w:val="000000"/>
          <w:lang w:eastAsia="ru-RU"/>
        </w:rPr>
        <w:t>Соглашении между Российской Федерацией и Европейским сообществом об упрощении выдачи виз гражданам Российской Федерации и Европейского союза</w:t>
      </w:r>
      <w:r w:rsidRPr="001B7004">
        <w:rPr>
          <w:rFonts w:ascii="Arial" w:eastAsia="Times New Roman" w:hAnsi="Arial" w:cs="Arial"/>
          <w:color w:val="000000"/>
          <w:lang w:eastAsia="ru-RU"/>
        </w:rPr>
        <w:t>.</w:t>
      </w:r>
    </w:p>
    <w:p w:rsidR="001B7004" w:rsidRPr="001B7004" w:rsidRDefault="001B7004" w:rsidP="001B7004">
      <w:pPr>
        <w:numPr>
          <w:ilvl w:val="0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lastRenderedPageBreak/>
        <w:t>Копия паспорта/вида на жительство приглашающего лица. В случае поездки к близким родственникам - документальное подтверждение родства (свидетельства о рождении, о браке и т.п.)</w:t>
      </w:r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Дополнительно для </w:t>
        </w:r>
      </w:hyperlink>
      <w:hyperlink r:id="rId10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деловой визы в Латвию</w:t>
        </w:r>
      </w:hyperlink>
    </w:p>
    <w:p w:rsidR="001B7004" w:rsidRPr="001B7004" w:rsidRDefault="001B7004" w:rsidP="001B7004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Оригинал письменного приглашения от принимающего юридического лица или предприятия, организации, бюро или их филиалов, Латвийских государственных или местных учреждений, или организационных комитетов торговых и промышленных выставок, симпозиумов и конференций, проходящих на территории Латвии. Сведения, которые должно содержать оригинальное письменное приглашения, оговорены в </w:t>
      </w:r>
      <w:r w:rsidRPr="001B7004">
        <w:rPr>
          <w:rFonts w:ascii="Arial" w:eastAsia="Times New Roman" w:hAnsi="Arial" w:cs="Arial"/>
          <w:i/>
          <w:iCs/>
          <w:color w:val="000000"/>
          <w:lang w:eastAsia="ru-RU"/>
        </w:rPr>
        <w:t>Соглашении между Российской Федерацией и Европейским сообществом об упрощении выдачи виз гражданам Российской Федерации и Европейского союза</w:t>
      </w:r>
      <w:r w:rsidRPr="001B7004">
        <w:rPr>
          <w:rFonts w:ascii="Arial" w:eastAsia="Times New Roman" w:hAnsi="Arial" w:cs="Arial"/>
          <w:color w:val="000000"/>
          <w:lang w:eastAsia="ru-RU"/>
        </w:rPr>
        <w:t>. ИЛИ:</w:t>
      </w:r>
    </w:p>
    <w:p w:rsidR="001B7004" w:rsidRPr="001B7004" w:rsidRDefault="001B7004" w:rsidP="001B7004">
      <w:pPr>
        <w:numPr>
          <w:ilvl w:val="0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Номер приглашения, оформленного и заверенного в Управлении по делам гражданства и миграции МВД Латвии</w:t>
      </w:r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1B7004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1B7004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1B7004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2" w:tgtFrame="_blank" w:tooltip="Образец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1B7004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1B7004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1B7004" w:rsidRPr="001B7004" w:rsidRDefault="001B7004" w:rsidP="001B700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- туристам, имеющим "незакрытые" визовые отказы;</w:t>
      </w:r>
      <w:r w:rsidRPr="001B7004">
        <w:rPr>
          <w:rFonts w:ascii="Arial" w:eastAsia="Times New Roman" w:hAnsi="Arial" w:cs="Arial"/>
          <w:color w:val="000000"/>
          <w:lang w:eastAsia="ru-RU"/>
        </w:rPr>
        <w:br/>
        <w:t xml:space="preserve">- туристам, проживающим в следующих регионах: Чеченской, Дагестанской,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 xml:space="preserve">- и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Южно-Осетинской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>;</w:t>
      </w:r>
      <w:r w:rsidRPr="001B7004">
        <w:rPr>
          <w:rFonts w:ascii="Arial" w:eastAsia="Times New Roman" w:hAnsi="Arial" w:cs="Arial"/>
          <w:color w:val="000000"/>
          <w:lang w:eastAsia="ru-RU"/>
        </w:rPr>
        <w:br/>
        <w:t xml:space="preserve">- туристам, родившимся в государствах Средней Азии и Кавказа и имеющим загранпаспорта без </w:t>
      </w:r>
      <w:proofErr w:type="spellStart"/>
      <w:r w:rsidRPr="001B7004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1B7004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1B7004" w:rsidRPr="001B7004" w:rsidRDefault="001B7004" w:rsidP="001B7004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B7004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B7004" w:rsidRPr="001B7004" w:rsidRDefault="001B7004" w:rsidP="001B7004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E86"/>
    <w:multiLevelType w:val="multilevel"/>
    <w:tmpl w:val="4EC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6B5F"/>
    <w:multiLevelType w:val="multilevel"/>
    <w:tmpl w:val="DE0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67EE"/>
    <w:multiLevelType w:val="multilevel"/>
    <w:tmpl w:val="C13E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F34B7"/>
    <w:multiLevelType w:val="multilevel"/>
    <w:tmpl w:val="0A6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004"/>
    <w:rsid w:val="00101BA5"/>
    <w:rsid w:val="001B7004"/>
    <w:rsid w:val="00D352B0"/>
    <w:rsid w:val="00FF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1B7004"/>
    <w:rPr>
      <w:color w:val="0000FF"/>
      <w:u w:val="single"/>
    </w:rPr>
  </w:style>
  <w:style w:type="character" w:styleId="af4">
    <w:name w:val="Emphasis"/>
    <w:basedOn w:val="a0"/>
    <w:uiPriority w:val="20"/>
    <w:qFormat/>
    <w:rsid w:val="001B7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8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latviyu/" TargetMode="External"/><Relationship Id="rId13" Type="http://schemas.openxmlformats.org/officeDocument/2006/relationships/hyperlink" Target="http://uvc-nsk.ru/vizy/viza_v_latv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upload/sponsorsko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latviyu/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hyperlink" Target="http://uvc-nsk.ru/vizy/viza_v_latviyu/" TargetMode="External"/><Relationship Id="rId10" Type="http://schemas.openxmlformats.org/officeDocument/2006/relationships/hyperlink" Target="http://uvc-nsk.ru/vizy/viza_v_latviyu/vizy/latv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latviyu/" TargetMode="External"/><Relationship Id="rId14" Type="http://schemas.openxmlformats.org/officeDocument/2006/relationships/hyperlink" Target="http://uvc-nsk.ru/vizy/viza_v_latv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2018-05-25T07:09:00Z</dcterms:created>
  <dcterms:modified xsi:type="dcterms:W3CDTF">2018-05-25T07:10:00Z</dcterms:modified>
</cp:coreProperties>
</file>