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81" w:rsidRPr="003F2E81" w:rsidRDefault="003F2E81" w:rsidP="003F2E81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3F2E81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Финляндию: оформление и получение, документы</w:t>
      </w:r>
    </w:p>
    <w:tbl>
      <w:tblPr>
        <w:tblW w:w="98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0"/>
        <w:gridCol w:w="3850"/>
        <w:gridCol w:w="2326"/>
      </w:tblGrid>
      <w:tr w:rsidR="003F2E81" w:rsidRPr="003F2E81" w:rsidTr="003F2E81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3F2E81" w:rsidRPr="003F2E81" w:rsidRDefault="003F2E81" w:rsidP="003F2E8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3F2E81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3F2E81" w:rsidRPr="003F2E81" w:rsidRDefault="003F2E81" w:rsidP="003F2E8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3F2E81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3F2E81" w:rsidRPr="003F2E81" w:rsidRDefault="003F2E81" w:rsidP="003F2E8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3F2E81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3F2E81" w:rsidRPr="003F2E81" w:rsidTr="003F2E81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3F2E81" w:rsidRPr="003F2E81" w:rsidRDefault="003F2E81" w:rsidP="003F2E8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3F2E81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14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3F2E81" w:rsidRPr="003F2E81" w:rsidRDefault="003F2E81" w:rsidP="003F2E8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3F2E81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15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3F2E81" w:rsidRPr="003F2E81" w:rsidRDefault="003F2E81" w:rsidP="003F2E8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3F2E81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9490 р.</w:t>
            </w:r>
          </w:p>
        </w:tc>
      </w:tr>
    </w:tbl>
    <w:p w:rsidR="003F2E81" w:rsidRPr="003F2E81" w:rsidRDefault="003F2E81" w:rsidP="003F2E8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3F2E81">
        <w:rPr>
          <w:rFonts w:ascii="Arial" w:eastAsia="Times New Roman" w:hAnsi="Arial" w:cs="Arial"/>
          <w:color w:val="000000"/>
          <w:lang w:eastAsia="ru-RU"/>
        </w:rPr>
        <w:t>или согласно своему приглашению</w:t>
      </w:r>
    </w:p>
    <w:p w:rsidR="003F2E81" w:rsidRPr="003F2E81" w:rsidRDefault="003F2E81" w:rsidP="003F2E8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br/>
      </w:r>
    </w:p>
    <w:p w:rsidR="003F2E81" w:rsidRPr="003F2E81" w:rsidRDefault="003F2E81" w:rsidP="003F2E8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F2E81">
        <w:rPr>
          <w:rFonts w:ascii="Arial" w:eastAsia="Times New Roman" w:hAnsi="Arial" w:cs="Arial"/>
          <w:b/>
          <w:bCs/>
          <w:color w:val="993366"/>
          <w:lang w:eastAsia="ru-RU"/>
        </w:rPr>
        <w:t>c</w:t>
      </w:r>
      <w:proofErr w:type="spellEnd"/>
      <w:r w:rsidRPr="003F2E81">
        <w:rPr>
          <w:rFonts w:ascii="Arial" w:eastAsia="Times New Roman" w:hAnsi="Arial" w:cs="Arial"/>
          <w:b/>
          <w:bCs/>
          <w:color w:val="993366"/>
          <w:lang w:eastAsia="ru-RU"/>
        </w:rPr>
        <w:t xml:space="preserve"> 14 сентября 2015 года</w:t>
      </w:r>
      <w:r w:rsidRPr="003F2E81">
        <w:rPr>
          <w:rFonts w:ascii="Arial" w:eastAsia="Times New Roman" w:hAnsi="Arial" w:cs="Arial"/>
          <w:b/>
          <w:bCs/>
          <w:color w:val="000000"/>
          <w:lang w:eastAsia="ru-RU"/>
        </w:rPr>
        <w:t> действует </w:t>
      </w:r>
      <w:hyperlink r:id="rId5" w:tgtFrame="_blank" w:history="1">
        <w:r w:rsidRPr="003F2E81">
          <w:rPr>
            <w:rFonts w:ascii="Arial" w:eastAsia="Times New Roman" w:hAnsi="Arial" w:cs="Arial"/>
            <w:b/>
            <w:bCs/>
            <w:color w:val="993366"/>
            <w:lang w:eastAsia="ru-RU"/>
          </w:rPr>
          <w:t>новый порядок подачи</w:t>
        </w:r>
      </w:hyperlink>
      <w:r w:rsidRPr="003F2E81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3F2E81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3F2E8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</w:t>
      </w:r>
    </w:p>
    <w:p w:rsidR="003F2E81" w:rsidRPr="003F2E81" w:rsidRDefault="003F2E81" w:rsidP="003F2E8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Необходимые документы для оформления </w:t>
      </w:r>
      <w:r w:rsidRPr="003F2E81">
        <w:rPr>
          <w:rFonts w:ascii="Arial" w:eastAsia="Times New Roman" w:hAnsi="Arial" w:cs="Arial"/>
          <w:b/>
          <w:bCs/>
          <w:color w:val="000000"/>
          <w:lang w:eastAsia="ru-RU"/>
        </w:rPr>
        <w:t>визы в Финляндию:</w:t>
      </w:r>
    </w:p>
    <w:p w:rsidR="003F2E81" w:rsidRPr="003F2E81" w:rsidRDefault="003F2E81" w:rsidP="003F2E81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Загранпаспорт, действительный 90 дней с момента выезда из Финляндии</w:t>
      </w:r>
    </w:p>
    <w:p w:rsidR="003F2E81" w:rsidRPr="003F2E81" w:rsidRDefault="003F2E81" w:rsidP="003F2E81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Старый загранпаспорт (если есть)</w:t>
      </w:r>
    </w:p>
    <w:p w:rsidR="003F2E81" w:rsidRPr="003F2E81" w:rsidRDefault="003F2E81" w:rsidP="003F2E81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2 цветных фото 3,5х</w:t>
      </w:r>
      <w:proofErr w:type="gramStart"/>
      <w:r w:rsidRPr="003F2E81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3F2E81">
        <w:rPr>
          <w:rFonts w:ascii="Arial" w:eastAsia="Times New Roman" w:hAnsi="Arial" w:cs="Arial"/>
          <w:color w:val="000000"/>
          <w:lang w:eastAsia="ru-RU"/>
        </w:rPr>
        <w:t>,5, лицо 32-33 мм, на голубом или светло-сером фоне</w:t>
      </w:r>
    </w:p>
    <w:p w:rsidR="003F2E81" w:rsidRPr="003F2E81" w:rsidRDefault="003F2E81" w:rsidP="003F2E81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 xml:space="preserve">Справка с места работы (на фирменном бланке со всеми реквизитами и телефонами с кодом, указать должность, </w:t>
      </w:r>
      <w:proofErr w:type="gramStart"/>
      <w:r w:rsidRPr="003F2E81">
        <w:rPr>
          <w:rFonts w:ascii="Arial" w:eastAsia="Times New Roman" w:hAnsi="Arial" w:cs="Arial"/>
          <w:color w:val="000000"/>
          <w:lang w:eastAsia="ru-RU"/>
        </w:rPr>
        <w:t>ср</w:t>
      </w:r>
      <w:proofErr w:type="gramEnd"/>
      <w:r w:rsidRPr="003F2E81">
        <w:rPr>
          <w:rFonts w:ascii="Arial" w:eastAsia="Times New Roman" w:hAnsi="Arial" w:cs="Arial"/>
          <w:color w:val="000000"/>
          <w:lang w:eastAsia="ru-RU"/>
        </w:rPr>
        <w:t>/мес. оклад за последние 6 месяцев (не менее 20 000), право оплачиваемого отпуска на даты поездки, подпись ген. директора, гл. бух., синяя печать)</w:t>
      </w:r>
    </w:p>
    <w:p w:rsidR="003F2E81" w:rsidRPr="003F2E81" w:rsidRDefault="003F2E81" w:rsidP="003F2E81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Копия внутреннего паспорта всех страниц</w:t>
      </w:r>
    </w:p>
    <w:p w:rsidR="003F2E81" w:rsidRPr="003F2E81" w:rsidRDefault="003F2E81" w:rsidP="003F2E81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Выписка с банковского счета</w:t>
      </w:r>
    </w:p>
    <w:p w:rsidR="003F2E81" w:rsidRPr="003F2E81" w:rsidRDefault="003F2E81" w:rsidP="003F2E81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 xml:space="preserve">Медицинская страховка и страховка от несчастного случая, покрывающие весь срок пребывания и действительные для </w:t>
      </w:r>
      <w:proofErr w:type="spellStart"/>
      <w:r w:rsidRPr="003F2E81">
        <w:rPr>
          <w:rFonts w:ascii="Arial" w:eastAsia="Times New Roman" w:hAnsi="Arial" w:cs="Arial"/>
          <w:color w:val="000000"/>
          <w:lang w:eastAsia="ru-RU"/>
        </w:rPr>
        <w:t>Шенгенского</w:t>
      </w:r>
      <w:proofErr w:type="spellEnd"/>
      <w:r w:rsidRPr="003F2E81">
        <w:rPr>
          <w:rFonts w:ascii="Arial" w:eastAsia="Times New Roman" w:hAnsi="Arial" w:cs="Arial"/>
          <w:color w:val="000000"/>
          <w:lang w:eastAsia="ru-RU"/>
        </w:rPr>
        <w:t xml:space="preserve"> пространства (только копия). Страховая сумма должна составлять не менее EUR 30000.00. Страховая компания должна быть </w:t>
      </w:r>
      <w:hyperlink r:id="rId6" w:tgtFrame="_blank" w:history="1">
        <w:r w:rsidRPr="003F2E81">
          <w:rPr>
            <w:rFonts w:ascii="Arial" w:eastAsia="Times New Roman" w:hAnsi="Arial" w:cs="Arial"/>
            <w:color w:val="77252D"/>
            <w:lang w:eastAsia="ru-RU"/>
          </w:rPr>
          <w:t>аккредитована в Посольстве Финляндии в Москве</w:t>
        </w:r>
      </w:hyperlink>
      <w:r w:rsidRPr="003F2E81">
        <w:rPr>
          <w:rFonts w:ascii="Arial" w:eastAsia="Times New Roman" w:hAnsi="Arial" w:cs="Arial"/>
          <w:color w:val="000000"/>
          <w:lang w:eastAsia="ru-RU"/>
        </w:rPr>
        <w:t>. Полисы, заполненные от руки, не принимаются. Страховка должна быть открыта со дня подачи документов в визовый центр!</w:t>
      </w:r>
    </w:p>
    <w:p w:rsidR="003F2E81" w:rsidRPr="003F2E81" w:rsidRDefault="003F2E81" w:rsidP="003F2E81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Pr="003F2E81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3F2E81" w:rsidRPr="003F2E81" w:rsidRDefault="003F2E81" w:rsidP="003F2E81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При необходимости у заявителя могут потребовать дополнительные сведения, например, копию внутреннего паспорта, более подробный план пребывания, или его могут вызвать на собеседование.</w:t>
      </w:r>
    </w:p>
    <w:p w:rsidR="003F2E81" w:rsidRPr="003F2E81" w:rsidRDefault="003F2E81" w:rsidP="003F2E81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Если заявитель является несовершеннолетним и путешествует один или с одним родителем, требуется письменное разрешение на поездку второго родителя или опекуна, или, в случае невозможности его получения – документы, подтверждающие причину отсутствия разрешения (справка родителя-одиночки или другие документы).</w:t>
      </w:r>
    </w:p>
    <w:p w:rsidR="003F2E81" w:rsidRPr="003F2E81" w:rsidRDefault="003F2E81" w:rsidP="003F2E81">
      <w:pPr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На ребенка дополнительно предоставляются: нотариально заверенная копия свидетельства о рождении, нотариально заверенная копия согласия на выезд от не выезжающего родителя, справка с учебы (для учеников и студентов), спонсорское письмо.</w:t>
      </w:r>
    </w:p>
    <w:p w:rsidR="003F2E81" w:rsidRPr="003F2E81" w:rsidRDefault="003F2E81" w:rsidP="003F2E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3F2E81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3F2E81" w:rsidRPr="003F2E81" w:rsidRDefault="003F2E81" w:rsidP="003F2E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3F2E81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3F2E81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3F2E81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3F2E81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3F2E81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</w:t>
      </w:r>
      <w:r w:rsidRPr="003F2E81">
        <w:rPr>
          <w:rFonts w:ascii="Arial" w:eastAsia="Times New Roman" w:hAnsi="Arial" w:cs="Arial"/>
          <w:color w:val="000000"/>
          <w:lang w:eastAsia="ru-RU"/>
        </w:rPr>
        <w:lastRenderedPageBreak/>
        <w:t>места работы спонсора и спонсорское письмо; </w:t>
      </w:r>
      <w:hyperlink r:id="rId9" w:tgtFrame="_blank" w:tooltip="Образец" w:history="1">
        <w:r w:rsidRPr="003F2E81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3F2E81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3F2E81" w:rsidRPr="003F2E81" w:rsidRDefault="003F2E81" w:rsidP="003F2E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3F2E81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3F2E81" w:rsidRPr="003F2E81" w:rsidRDefault="003F2E81" w:rsidP="003F2E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3F2E81" w:rsidRPr="003F2E81" w:rsidRDefault="003F2E81" w:rsidP="003F2E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3F2E81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3F2E81" w:rsidRPr="003F2E81" w:rsidRDefault="003F2E81" w:rsidP="003F2E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3F2E81" w:rsidRPr="003F2E81" w:rsidRDefault="003F2E81" w:rsidP="003F2E8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3F2E81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3F2E81" w:rsidRPr="003F2E81" w:rsidRDefault="003F2E81" w:rsidP="003F2E81">
      <w:p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3F2E81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 </w:t>
      </w:r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D66C0"/>
    <w:multiLevelType w:val="multilevel"/>
    <w:tmpl w:val="4A20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2E81"/>
    <w:rsid w:val="00101BA5"/>
    <w:rsid w:val="003F2E81"/>
    <w:rsid w:val="00CE5035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3F2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1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finlyandiy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vc-nsk.ru/upload/OPROSNIY%20LIST%20UVC.doc" TargetMode="External"/><Relationship Id="rId12" Type="http://schemas.openxmlformats.org/officeDocument/2006/relationships/hyperlink" Target="http://uvc-nsk.ru/vizy/viza_v_finlyand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Vakuutusyhti%C3%B6t%20akkreditoitu%202013%20ven%C3%A4j%C3%A4ksi_julkaistu.pdf" TargetMode="External"/><Relationship Id="rId11" Type="http://schemas.openxmlformats.org/officeDocument/2006/relationships/hyperlink" Target="http://uvc-nsk.ru/vizy/viza_v_finlyandiyu/" TargetMode="External"/><Relationship Id="rId5" Type="http://schemas.openxmlformats.org/officeDocument/2006/relationships/hyperlink" Target="http://uvc-nsk.ru/novosti/novyy_poryadok_podachi_dokumentov_na_shengenskuyu_vizu/" TargetMode="External"/><Relationship Id="rId10" Type="http://schemas.openxmlformats.org/officeDocument/2006/relationships/hyperlink" Target="http://uvc-nsk.ru/vizy/viza_v_finlyand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upload/sponsorsko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2018-05-25T06:45:00Z</dcterms:created>
  <dcterms:modified xsi:type="dcterms:W3CDTF">2018-05-25T06:45:00Z</dcterms:modified>
</cp:coreProperties>
</file>